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FCFC" w14:textId="17FC6213" w:rsidR="00E81F6E" w:rsidRDefault="00E81F6E" w:rsidP="00E81F6E">
      <w:pPr>
        <w:pStyle w:val="Ttulo"/>
        <w:rPr>
          <w:lang w:val="es-ES"/>
        </w:rPr>
      </w:pPr>
      <w:r>
        <w:rPr>
          <w:lang w:val="es-ES"/>
        </w:rPr>
        <w:t>Libertad y Seguridad Personal y Garantías del Proceso Penal</w:t>
      </w:r>
    </w:p>
    <w:p w14:paraId="484B1F8F" w14:textId="050694AF" w:rsidR="00E81F6E" w:rsidRDefault="00E81F6E" w:rsidP="00E81F6E">
      <w:pPr>
        <w:rPr>
          <w:lang w:val="es-ES"/>
        </w:rPr>
      </w:pPr>
    </w:p>
    <w:p w14:paraId="6882A7FB" w14:textId="26BAC20A" w:rsidR="00E81F6E" w:rsidRDefault="00E81F6E" w:rsidP="00E81F6E">
      <w:pPr>
        <w:pStyle w:val="Autor"/>
      </w:pPr>
      <w:r>
        <w:t>Carlos Correa Robles</w:t>
      </w:r>
    </w:p>
    <w:p w14:paraId="65B2B19A" w14:textId="5D06E043" w:rsidR="00E81F6E" w:rsidRDefault="00E81F6E" w:rsidP="00E81F6E">
      <w:pPr>
        <w:pStyle w:val="Autor"/>
      </w:pPr>
      <w:r>
        <w:t>Facultad de Derecho</w:t>
      </w:r>
    </w:p>
    <w:p w14:paraId="6BD65B67" w14:textId="61F81D32" w:rsidR="00E81F6E" w:rsidRDefault="00E81F6E" w:rsidP="00E81F6E">
      <w:pPr>
        <w:pStyle w:val="Autor"/>
      </w:pPr>
      <w:r>
        <w:t>Universidad Adolfo Ibáñez</w:t>
      </w:r>
    </w:p>
    <w:p w14:paraId="04A06CAA" w14:textId="4C496516" w:rsidR="00E81F6E" w:rsidRPr="00E20CFA" w:rsidRDefault="00E81F6E" w:rsidP="00E20CFA">
      <w:pPr>
        <w:pStyle w:val="Bajada"/>
      </w:pPr>
      <w:r w:rsidRPr="00E20CFA">
        <w:rPr>
          <w:rStyle w:val="nfasissutil"/>
          <w:i/>
          <w:iCs w:val="0"/>
          <w:color w:val="auto"/>
        </w:rPr>
        <w:t xml:space="preserve">El presente documento presenta una propuesta de regulación constitucional de dos materias relacionadas entre sí. La primera, las condiciones bajo las cuales se puede legítimamente privar a una persona de su libertad personal. La segunda, las garantías </w:t>
      </w:r>
      <w:r w:rsidR="00E20CFA" w:rsidRPr="00E20CFA">
        <w:rPr>
          <w:rStyle w:val="nfasissutil"/>
          <w:i/>
          <w:iCs w:val="0"/>
          <w:color w:val="auto"/>
        </w:rPr>
        <w:t>del proceso penal.</w:t>
      </w:r>
      <w:r w:rsidRPr="00E20CFA">
        <w:rPr>
          <w:rStyle w:val="nfasissutil"/>
          <w:i/>
          <w:iCs w:val="0"/>
          <w:color w:val="auto"/>
        </w:rPr>
        <w:t xml:space="preserve"> </w:t>
      </w:r>
    </w:p>
    <w:p w14:paraId="3020EE6F" w14:textId="1C162BE7" w:rsidR="003632FD" w:rsidRPr="004353F1" w:rsidRDefault="004353F1" w:rsidP="003632FD">
      <w:pPr>
        <w:rPr>
          <w:rFonts w:ascii="Times New Roman" w:hAnsi="Times New Roman" w:cs="Times New Roman"/>
          <w:i/>
          <w:lang w:val="es-ES"/>
        </w:rPr>
      </w:pPr>
      <w:r w:rsidRPr="004353F1">
        <w:rPr>
          <w:rFonts w:ascii="Times New Roman" w:hAnsi="Times New Roman" w:cs="Times New Roman"/>
          <w:i/>
          <w:lang w:val="es-ES"/>
        </w:rPr>
        <w:t>i. Libertad y seguridad personal</w:t>
      </w:r>
    </w:p>
    <w:p w14:paraId="7A67EFC3" w14:textId="77777777" w:rsidR="004353F1" w:rsidRPr="006F1C54" w:rsidRDefault="004353F1" w:rsidP="003632FD">
      <w:pPr>
        <w:rPr>
          <w:rFonts w:ascii="Times New Roman" w:hAnsi="Times New Roman" w:cs="Times New Roman"/>
          <w:lang w:val="es-ES"/>
        </w:rPr>
      </w:pPr>
    </w:p>
    <w:p w14:paraId="00660B13" w14:textId="77777777" w:rsidR="00E96385" w:rsidRPr="00E20CFA" w:rsidRDefault="00A5737C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Toda persona tiene derecho a la libertad y a la seguridad personal</w:t>
      </w:r>
      <w:r w:rsidRPr="00E20CFA">
        <w:rPr>
          <w:rStyle w:val="Refdenotaalpie"/>
          <w:rFonts w:cs="Times New Roman"/>
          <w:lang w:val="es-ES"/>
        </w:rPr>
        <w:footnoteReference w:id="2"/>
      </w:r>
      <w:r w:rsidRPr="00E20CFA">
        <w:rPr>
          <w:rFonts w:cs="Times New Roman"/>
          <w:lang w:val="es-ES"/>
        </w:rPr>
        <w:t>.</w:t>
      </w:r>
      <w:r w:rsidR="004A1F8F" w:rsidRPr="00E20CFA">
        <w:rPr>
          <w:rFonts w:cs="Times New Roman"/>
          <w:lang w:val="es-ES"/>
        </w:rPr>
        <w:t xml:space="preserve"> Nadie puede ser privado de su libertad, salvo en los casos siguientes y con arreglo al procedimiento establecido por la ley</w:t>
      </w:r>
      <w:r w:rsidR="002E532E" w:rsidRPr="00E20CFA">
        <w:rPr>
          <w:rStyle w:val="Refdenotaalpie"/>
          <w:rFonts w:cs="Times New Roman"/>
          <w:lang w:val="es-ES"/>
        </w:rPr>
        <w:footnoteReference w:id="3"/>
      </w:r>
      <w:r w:rsidR="004A1F8F" w:rsidRPr="00E20CFA">
        <w:rPr>
          <w:rFonts w:cs="Times New Roman"/>
          <w:lang w:val="es-ES"/>
        </w:rPr>
        <w:t>:</w:t>
      </w:r>
    </w:p>
    <w:p w14:paraId="65C3757F" w14:textId="77777777" w:rsidR="004A1F8F" w:rsidRPr="00E20CFA" w:rsidRDefault="004A1F8F" w:rsidP="0015629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ha sido </w:t>
      </w:r>
      <w:r w:rsidR="0015629F" w:rsidRPr="00E20CFA">
        <w:rPr>
          <w:rFonts w:cs="Times New Roman"/>
          <w:lang w:val="es-ES"/>
        </w:rPr>
        <w:t>condenado</w:t>
      </w:r>
      <w:r w:rsidRPr="00E20CFA">
        <w:rPr>
          <w:rFonts w:cs="Times New Roman"/>
          <w:lang w:val="es-ES"/>
        </w:rPr>
        <w:t xml:space="preserve"> en virtud de una sentencia dictada por </w:t>
      </w:r>
      <w:r w:rsidR="0015629F" w:rsidRPr="00E20CFA">
        <w:rPr>
          <w:rFonts w:cs="Times New Roman"/>
          <w:lang w:val="es-ES"/>
        </w:rPr>
        <w:t>el</w:t>
      </w:r>
      <w:r w:rsidRPr="00E20CFA">
        <w:rPr>
          <w:rFonts w:cs="Times New Roman"/>
          <w:lang w:val="es-ES"/>
        </w:rPr>
        <w:t xml:space="preserve"> tribunal competente</w:t>
      </w:r>
      <w:r w:rsidRPr="00E20CFA">
        <w:rPr>
          <w:rStyle w:val="Refdenotaalpie"/>
          <w:rFonts w:cs="Times New Roman"/>
          <w:lang w:val="es-ES"/>
        </w:rPr>
        <w:footnoteReference w:id="4"/>
      </w:r>
      <w:r w:rsidRPr="00E20CFA">
        <w:rPr>
          <w:rFonts w:cs="Times New Roman"/>
          <w:lang w:val="es-ES"/>
        </w:rPr>
        <w:t>.</w:t>
      </w:r>
    </w:p>
    <w:p w14:paraId="7123BED1" w14:textId="5B7BCA2E" w:rsidR="00E007E5" w:rsidRPr="00E20CFA" w:rsidRDefault="004A1F8F" w:rsidP="00A34CF9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Si ha sido</w:t>
      </w:r>
      <w:r w:rsidR="00842A5E" w:rsidRPr="00E20CFA">
        <w:rPr>
          <w:rFonts w:cs="Times New Roman"/>
          <w:lang w:val="es-ES"/>
        </w:rPr>
        <w:t xml:space="preserve"> detenido, sometido a prisión preventiva o a otra medida cautelar </w:t>
      </w:r>
      <w:r w:rsidR="00642B3D" w:rsidRPr="00E20CFA">
        <w:rPr>
          <w:rFonts w:cs="Times New Roman"/>
          <w:lang w:val="es-ES"/>
        </w:rPr>
        <w:t xml:space="preserve">o </w:t>
      </w:r>
      <w:r w:rsidR="00AA2367" w:rsidRPr="00E20CFA">
        <w:rPr>
          <w:rFonts w:cs="Times New Roman"/>
          <w:lang w:val="es-ES"/>
        </w:rPr>
        <w:t xml:space="preserve">medida </w:t>
      </w:r>
      <w:r w:rsidR="00642B3D" w:rsidRPr="00E20CFA">
        <w:rPr>
          <w:rFonts w:cs="Times New Roman"/>
          <w:lang w:val="es-ES"/>
        </w:rPr>
        <w:t xml:space="preserve">de seguridad </w:t>
      </w:r>
      <w:r w:rsidR="00842A5E" w:rsidRPr="00E20CFA">
        <w:rPr>
          <w:rFonts w:cs="Times New Roman"/>
          <w:lang w:val="es-ES"/>
        </w:rPr>
        <w:t>que involucre una privación o restricción de la libertad</w:t>
      </w:r>
      <w:r w:rsidR="0053273C" w:rsidRPr="00E20CFA">
        <w:rPr>
          <w:rFonts w:cs="Times New Roman"/>
          <w:lang w:val="es-ES"/>
        </w:rPr>
        <w:t xml:space="preserve">, </w:t>
      </w:r>
      <w:r w:rsidR="008426BD" w:rsidRPr="00E20CFA">
        <w:rPr>
          <w:rFonts w:cs="Times New Roman"/>
          <w:lang w:val="es-ES"/>
        </w:rPr>
        <w:t xml:space="preserve">en cumplimiento de una </w:t>
      </w:r>
      <w:r w:rsidR="00A34CF9" w:rsidRPr="00E20CFA">
        <w:rPr>
          <w:rFonts w:cs="Times New Roman"/>
          <w:lang w:val="es-ES"/>
        </w:rPr>
        <w:t xml:space="preserve">resolución judicial fundada </w:t>
      </w:r>
      <w:r w:rsidR="00736854" w:rsidRPr="00E20CFA">
        <w:rPr>
          <w:rFonts w:cs="Times New Roman"/>
          <w:lang w:val="es-ES"/>
        </w:rPr>
        <w:t>conforme</w:t>
      </w:r>
      <w:r w:rsidR="00842A5E" w:rsidRPr="00E20CFA">
        <w:rPr>
          <w:rFonts w:cs="Times New Roman"/>
          <w:lang w:val="es-ES"/>
        </w:rPr>
        <w:t xml:space="preserve"> a la ley</w:t>
      </w:r>
      <w:r w:rsidR="002D052B" w:rsidRPr="00E20CFA">
        <w:rPr>
          <w:rStyle w:val="Refdenotaalpie"/>
          <w:rFonts w:cs="Times New Roman"/>
          <w:lang w:val="es-ES"/>
        </w:rPr>
        <w:footnoteReference w:id="5"/>
      </w:r>
      <w:r w:rsidR="00E96385" w:rsidRPr="00E20CFA">
        <w:rPr>
          <w:rFonts w:cs="Times New Roman"/>
          <w:lang w:val="es-ES"/>
        </w:rPr>
        <w:t>.</w:t>
      </w:r>
      <w:r w:rsidR="007817BE" w:rsidRPr="00E20CFA">
        <w:rPr>
          <w:rFonts w:cs="Times New Roman"/>
          <w:lang w:val="es-ES"/>
        </w:rPr>
        <w:t xml:space="preserve"> </w:t>
      </w:r>
    </w:p>
    <w:p w14:paraId="167F7FAD" w14:textId="556D2786" w:rsidR="007817BE" w:rsidRPr="00E20CFA" w:rsidRDefault="00E007E5" w:rsidP="00E007E5">
      <w:pPr>
        <w:ind w:left="106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Las medidas cautelares personales sólo podrán decretarse cuando resulten indispensables para resguardar fines del procedimiento penal y jamás podrán constituir una pena anticipada.</w:t>
      </w:r>
    </w:p>
    <w:p w14:paraId="3451DF59" w14:textId="7F3D7D25" w:rsidR="00FF4F63" w:rsidRPr="00E20CFA" w:rsidRDefault="004A1F8F" w:rsidP="004A1F8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ha sido </w:t>
      </w:r>
      <w:r w:rsidR="005C3AE1" w:rsidRPr="00E20CFA">
        <w:rPr>
          <w:rFonts w:cs="Times New Roman"/>
          <w:lang w:val="es-ES"/>
        </w:rPr>
        <w:t>sorprendid</w:t>
      </w:r>
      <w:r w:rsidRPr="00E20CFA">
        <w:rPr>
          <w:rFonts w:cs="Times New Roman"/>
          <w:lang w:val="es-ES"/>
        </w:rPr>
        <w:t>o</w:t>
      </w:r>
      <w:r w:rsidR="005C3AE1" w:rsidRPr="00E20CFA">
        <w:rPr>
          <w:rFonts w:cs="Times New Roman"/>
          <w:lang w:val="es-ES"/>
        </w:rPr>
        <w:t xml:space="preserve"> cometiendo un delito flagrante</w:t>
      </w:r>
      <w:r w:rsidRPr="00E20CFA">
        <w:rPr>
          <w:rFonts w:cs="Times New Roman"/>
          <w:lang w:val="es-ES"/>
        </w:rPr>
        <w:t>, en cuyo caso</w:t>
      </w:r>
      <w:r w:rsidR="005C3AE1" w:rsidRPr="00E20CFA">
        <w:rPr>
          <w:rFonts w:cs="Times New Roman"/>
          <w:lang w:val="es-ES"/>
        </w:rPr>
        <w:t xml:space="preserve"> </w:t>
      </w:r>
      <w:r w:rsidR="007817BE" w:rsidRPr="00E20CFA">
        <w:rPr>
          <w:rFonts w:cs="Times New Roman"/>
          <w:lang w:val="es-ES"/>
        </w:rPr>
        <w:t xml:space="preserve">podrá ser detenida por cualquier persona, con el único objeto de ser conducida </w:t>
      </w:r>
      <w:r w:rsidR="006F1C54" w:rsidRPr="00E20CFA">
        <w:rPr>
          <w:rFonts w:cs="Times New Roman"/>
          <w:lang w:val="es-ES"/>
        </w:rPr>
        <w:t>inmediatamente</w:t>
      </w:r>
      <w:r w:rsidR="003E47D7" w:rsidRPr="00E20CFA">
        <w:rPr>
          <w:rFonts w:cs="Times New Roman"/>
          <w:lang w:val="es-ES"/>
        </w:rPr>
        <w:t xml:space="preserve"> </w:t>
      </w:r>
      <w:r w:rsidR="007817BE" w:rsidRPr="00E20CFA">
        <w:rPr>
          <w:rFonts w:cs="Times New Roman"/>
          <w:lang w:val="es-ES"/>
        </w:rPr>
        <w:t xml:space="preserve">ante </w:t>
      </w:r>
      <w:r w:rsidR="00533D42" w:rsidRPr="00E20CFA">
        <w:rPr>
          <w:rFonts w:cs="Times New Roman"/>
          <w:lang w:val="es-ES"/>
        </w:rPr>
        <w:t>el juez</w:t>
      </w:r>
      <w:r w:rsidR="007817BE" w:rsidRPr="00E20CFA">
        <w:rPr>
          <w:rFonts w:cs="Times New Roman"/>
          <w:lang w:val="es-ES"/>
        </w:rPr>
        <w:t xml:space="preserve"> competente, quien deberá resolver su situación jurídica.</w:t>
      </w:r>
    </w:p>
    <w:p w14:paraId="43F22875" w14:textId="2DF9B59D" w:rsidR="009D5E05" w:rsidRPr="00E20CFA" w:rsidRDefault="009D5E05" w:rsidP="004A1F8F">
      <w:pPr>
        <w:pStyle w:val="Prrafodelista"/>
        <w:numPr>
          <w:ilvl w:val="0"/>
          <w:numId w:val="1"/>
        </w:numPr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Si se trata de la prisión preventiva o del internamiento, conforme a derecho, de una persona para impedir que </w:t>
      </w:r>
      <w:r w:rsidR="003615CC" w:rsidRPr="00E20CFA">
        <w:rPr>
          <w:rFonts w:cs="Times New Roman"/>
          <w:lang w:val="es-ES"/>
        </w:rPr>
        <w:t>ingrese</w:t>
      </w:r>
      <w:r w:rsidRPr="00E20CFA">
        <w:rPr>
          <w:rFonts w:cs="Times New Roman"/>
          <w:lang w:val="es-ES"/>
        </w:rPr>
        <w:t xml:space="preserve"> ilegalmente </w:t>
      </w:r>
      <w:r w:rsidR="002E532E" w:rsidRPr="00E20CFA">
        <w:rPr>
          <w:rFonts w:cs="Times New Roman"/>
          <w:lang w:val="es-ES"/>
        </w:rPr>
        <w:t>a</w:t>
      </w:r>
      <w:r w:rsidRPr="00E20CFA">
        <w:rPr>
          <w:rFonts w:cs="Times New Roman"/>
          <w:lang w:val="es-ES"/>
        </w:rPr>
        <w:t xml:space="preserve">l territorio </w:t>
      </w:r>
      <w:r w:rsidR="002E532E" w:rsidRPr="00E20CFA">
        <w:rPr>
          <w:rFonts w:cs="Times New Roman"/>
          <w:lang w:val="es-ES"/>
        </w:rPr>
        <w:t xml:space="preserve">de la </w:t>
      </w:r>
      <w:r w:rsidR="003615CC" w:rsidRPr="00E20CFA">
        <w:rPr>
          <w:rFonts w:cs="Times New Roman"/>
          <w:lang w:val="es-ES"/>
        </w:rPr>
        <w:t>R</w:t>
      </w:r>
      <w:r w:rsidR="002E532E" w:rsidRPr="00E20CFA">
        <w:rPr>
          <w:rFonts w:cs="Times New Roman"/>
          <w:lang w:val="es-ES"/>
        </w:rPr>
        <w:t xml:space="preserve">epública </w:t>
      </w:r>
      <w:r w:rsidRPr="00E20CFA">
        <w:rPr>
          <w:rFonts w:cs="Times New Roman"/>
          <w:lang w:val="es-ES"/>
        </w:rPr>
        <w:t xml:space="preserve">o contra </w:t>
      </w:r>
      <w:r w:rsidR="00D3248C" w:rsidRPr="00E20CFA">
        <w:rPr>
          <w:rFonts w:cs="Times New Roman"/>
          <w:lang w:val="es-ES"/>
        </w:rPr>
        <w:t>quien</w:t>
      </w:r>
      <w:r w:rsidRPr="00E20CFA">
        <w:rPr>
          <w:rFonts w:cs="Times New Roman"/>
          <w:lang w:val="es-ES"/>
        </w:rPr>
        <w:t xml:space="preserve"> esté en curso un procedimiento de expulsión o extradición</w:t>
      </w:r>
      <w:r w:rsidRPr="00E20CFA">
        <w:rPr>
          <w:rStyle w:val="Refdenotaalpie"/>
          <w:rFonts w:cs="Times New Roman"/>
          <w:lang w:val="es-ES"/>
        </w:rPr>
        <w:footnoteReference w:id="6"/>
      </w:r>
      <w:r w:rsidRPr="00E20CFA">
        <w:rPr>
          <w:rFonts w:cs="Times New Roman"/>
          <w:lang w:val="es-ES"/>
        </w:rPr>
        <w:t>.</w:t>
      </w:r>
    </w:p>
    <w:p w14:paraId="02B75C8E" w14:textId="4F6662B7" w:rsidR="0055098C" w:rsidRPr="00E20CFA" w:rsidRDefault="005C3AE1" w:rsidP="0055098C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Toda persona detenida deberá ser informada de forma inmediata, y de modo que le sea comprensible, de sus derechos y de los motivos de su detención</w:t>
      </w:r>
      <w:r w:rsidRPr="00E20CFA">
        <w:rPr>
          <w:rStyle w:val="Refdenotaalpie"/>
          <w:rFonts w:cs="Times New Roman"/>
          <w:lang w:val="es-ES"/>
        </w:rPr>
        <w:footnoteReference w:id="7"/>
      </w:r>
      <w:r w:rsidRPr="00E20CFA">
        <w:rPr>
          <w:rFonts w:cs="Times New Roman"/>
          <w:lang w:val="es-ES"/>
        </w:rPr>
        <w:t>.</w:t>
      </w:r>
      <w:r w:rsidR="00647733" w:rsidRPr="00E20CFA">
        <w:rPr>
          <w:rFonts w:cs="Times New Roman"/>
          <w:lang w:val="es-ES"/>
        </w:rPr>
        <w:t xml:space="preserve"> </w:t>
      </w:r>
    </w:p>
    <w:p w14:paraId="3C06E326" w14:textId="4E5735CA" w:rsidR="005C3AE1" w:rsidRPr="00E20CFA" w:rsidRDefault="00647733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La autoridad que ejecute una orden de detención </w:t>
      </w:r>
      <w:r w:rsidR="005E6DAE" w:rsidRPr="00E20CFA">
        <w:rPr>
          <w:rFonts w:cs="Times New Roman"/>
          <w:lang w:val="es-ES"/>
        </w:rPr>
        <w:t xml:space="preserve">legalmente emitida </w:t>
      </w:r>
      <w:r w:rsidRPr="00E20CFA">
        <w:rPr>
          <w:rFonts w:cs="Times New Roman"/>
          <w:lang w:val="es-ES"/>
        </w:rPr>
        <w:t>deberá poner al imputado a disposición del juez, sin dilación alguna y bajo su más estricta responsabilidad</w:t>
      </w:r>
      <w:r w:rsidRPr="00E20CFA">
        <w:rPr>
          <w:rStyle w:val="Refdenotaalpie"/>
          <w:rFonts w:cs="Times New Roman"/>
          <w:lang w:val="es-ES"/>
        </w:rPr>
        <w:footnoteReference w:id="8"/>
      </w:r>
      <w:r w:rsidRPr="00E20CFA">
        <w:rPr>
          <w:rFonts w:cs="Times New Roman"/>
          <w:lang w:val="es-ES"/>
        </w:rPr>
        <w:t>.</w:t>
      </w:r>
    </w:p>
    <w:p w14:paraId="6F45100E" w14:textId="6FBA70B3" w:rsidR="00A5737C" w:rsidRPr="00E20CFA" w:rsidRDefault="000E7AC4" w:rsidP="00477C25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Nadie puede ser detenido, sujeto a prisión preventiva o preso sino en su </w:t>
      </w:r>
      <w:r w:rsidR="00842A5E" w:rsidRPr="00E20CFA">
        <w:rPr>
          <w:rFonts w:cs="Times New Roman"/>
          <w:lang w:val="es-ES"/>
        </w:rPr>
        <w:t>domicilio</w:t>
      </w:r>
      <w:r w:rsidRPr="00E20CFA">
        <w:rPr>
          <w:rFonts w:cs="Times New Roman"/>
          <w:lang w:val="es-ES"/>
        </w:rPr>
        <w:t xml:space="preserve"> o en lugares públicos destinados a este objeto</w:t>
      </w:r>
      <w:r w:rsidR="00B02E08" w:rsidRPr="00E20CFA">
        <w:rPr>
          <w:rStyle w:val="Refdenotaalpie"/>
          <w:rFonts w:cs="Times New Roman"/>
          <w:lang w:val="es-ES"/>
        </w:rPr>
        <w:footnoteReference w:id="9"/>
      </w:r>
      <w:r w:rsidRPr="00E20CFA">
        <w:rPr>
          <w:rFonts w:cs="Times New Roman"/>
          <w:lang w:val="es-ES"/>
        </w:rPr>
        <w:t>.</w:t>
      </w:r>
      <w:r w:rsidR="00640DE8" w:rsidRPr="00E20CFA">
        <w:rPr>
          <w:rFonts w:cs="Times New Roman"/>
          <w:lang w:val="es-ES"/>
        </w:rPr>
        <w:t xml:space="preserve"> Los imputados</w:t>
      </w:r>
      <w:r w:rsidR="007673A0" w:rsidRPr="00E20CFA">
        <w:rPr>
          <w:rFonts w:cs="Times New Roman"/>
          <w:lang w:val="es-ES"/>
        </w:rPr>
        <w:t xml:space="preserve"> que no </w:t>
      </w:r>
      <w:r w:rsidR="00583C8C" w:rsidRPr="00E20CFA">
        <w:rPr>
          <w:rFonts w:cs="Times New Roman"/>
          <w:lang w:val="es-ES"/>
        </w:rPr>
        <w:t xml:space="preserve">se encuentren </w:t>
      </w:r>
      <w:r w:rsidR="00583C8C" w:rsidRPr="00E20CFA">
        <w:rPr>
          <w:rFonts w:cs="Times New Roman"/>
          <w:lang w:val="es-ES"/>
        </w:rPr>
        <w:lastRenderedPageBreak/>
        <w:t>cumpliendo condena por otro delito</w:t>
      </w:r>
      <w:r w:rsidR="00640DE8" w:rsidRPr="00E20CFA">
        <w:rPr>
          <w:rFonts w:cs="Times New Roman"/>
          <w:lang w:val="es-ES"/>
        </w:rPr>
        <w:t xml:space="preserve"> estarán separados de los condenados, y serán sometidos a un tratamiento acorde a su condición de personas no condenadas</w:t>
      </w:r>
      <w:r w:rsidR="00640DE8" w:rsidRPr="00E20CFA">
        <w:rPr>
          <w:rStyle w:val="Refdenotaalpie"/>
          <w:rFonts w:cs="Times New Roman"/>
          <w:lang w:val="es-ES"/>
        </w:rPr>
        <w:footnoteReference w:id="10"/>
      </w:r>
      <w:r w:rsidR="00640DE8" w:rsidRPr="00E20CFA">
        <w:rPr>
          <w:rFonts w:cs="Times New Roman"/>
          <w:lang w:val="es-ES"/>
        </w:rPr>
        <w:t>.</w:t>
      </w:r>
    </w:p>
    <w:p w14:paraId="4785CE77" w14:textId="48C6908B" w:rsidR="00F4571C" w:rsidRPr="00E20CFA" w:rsidRDefault="00F4571C" w:rsidP="00F4571C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</w:t>
      </w:r>
      <w:r w:rsidR="000750C9" w:rsidRPr="00E20CFA">
        <w:rPr>
          <w:rFonts w:cs="Times New Roman"/>
          <w:lang w:val="es-ES"/>
        </w:rPr>
        <w:t>s</w:t>
      </w:r>
      <w:r w:rsidRPr="00E20CFA">
        <w:rPr>
          <w:rFonts w:cs="Times New Roman"/>
          <w:lang w:val="es-ES"/>
        </w:rPr>
        <w:t xml:space="preserve"> personas privadas de libertad no podrán ser objeto de abusos físicos ni sicológicos</w:t>
      </w:r>
      <w:r w:rsidRPr="00E20CFA">
        <w:rPr>
          <w:rStyle w:val="Refdenotaalpie"/>
          <w:rFonts w:cs="Times New Roman"/>
          <w:lang w:val="es-ES"/>
        </w:rPr>
        <w:footnoteReference w:id="11"/>
      </w:r>
      <w:r w:rsidRPr="00E20CFA">
        <w:rPr>
          <w:rFonts w:cs="Times New Roman"/>
          <w:lang w:val="es-ES"/>
        </w:rPr>
        <w:t xml:space="preserve">. </w:t>
      </w:r>
    </w:p>
    <w:p w14:paraId="734E7BED" w14:textId="77777777" w:rsidR="002E532E" w:rsidRPr="00E20CFA" w:rsidRDefault="00345203" w:rsidP="004B2BD3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Nadie podrá ser privado de su libertad por la única razón de incumplir una obligación contractual</w:t>
      </w:r>
      <w:r w:rsidR="00534482" w:rsidRPr="00E20CFA">
        <w:rPr>
          <w:rStyle w:val="Refdenotaalpie"/>
          <w:rFonts w:cs="Times New Roman"/>
          <w:lang w:val="es-ES"/>
        </w:rPr>
        <w:footnoteReference w:id="12"/>
      </w:r>
      <w:r w:rsidRPr="00E20CFA">
        <w:rPr>
          <w:rFonts w:cs="Times New Roman"/>
          <w:lang w:val="es-ES"/>
        </w:rPr>
        <w:t>.</w:t>
      </w:r>
    </w:p>
    <w:p w14:paraId="6B98DB58" w14:textId="34C43EE4" w:rsidR="002E532E" w:rsidRPr="00E20CFA" w:rsidRDefault="002E532E" w:rsidP="004B2BD3">
      <w:pPr>
        <w:rPr>
          <w:rFonts w:cs="Times New Roman"/>
          <w:i/>
          <w:lang w:val="es-ES"/>
        </w:rPr>
      </w:pPr>
    </w:p>
    <w:p w14:paraId="67AD7BE7" w14:textId="77777777" w:rsidR="00AE2F9B" w:rsidRPr="00E20CFA" w:rsidRDefault="00AE2F9B" w:rsidP="004B2BD3">
      <w:pPr>
        <w:rPr>
          <w:rFonts w:cs="Times New Roman"/>
          <w:i/>
          <w:lang w:val="es-ES"/>
        </w:rPr>
      </w:pPr>
    </w:p>
    <w:p w14:paraId="6223AC36" w14:textId="5C552E2C" w:rsidR="004353F1" w:rsidRPr="00E20CFA" w:rsidRDefault="004353F1" w:rsidP="004353F1">
      <w:pPr>
        <w:rPr>
          <w:rFonts w:cs="Times New Roman"/>
          <w:i/>
          <w:lang w:val="es-ES"/>
        </w:rPr>
      </w:pPr>
      <w:r w:rsidRPr="00E20CFA">
        <w:rPr>
          <w:rFonts w:cs="Times New Roman"/>
          <w:i/>
          <w:lang w:val="es-ES"/>
        </w:rPr>
        <w:t>i</w:t>
      </w:r>
      <w:r w:rsidR="00E128E7" w:rsidRPr="00E20CFA">
        <w:rPr>
          <w:rFonts w:cs="Times New Roman"/>
          <w:i/>
          <w:lang w:val="es-ES"/>
        </w:rPr>
        <w:t>i</w:t>
      </w:r>
      <w:r w:rsidRPr="00E20CFA">
        <w:rPr>
          <w:rFonts w:cs="Times New Roman"/>
          <w:i/>
          <w:lang w:val="es-ES"/>
        </w:rPr>
        <w:t>. Normas que corresponde reunir en un mismo grupo relativo a la investigación y el juicio penal</w:t>
      </w:r>
    </w:p>
    <w:p w14:paraId="0D928D87" w14:textId="77777777" w:rsidR="004353F1" w:rsidRPr="00E20CFA" w:rsidRDefault="004353F1" w:rsidP="004353F1">
      <w:pPr>
        <w:jc w:val="center"/>
        <w:rPr>
          <w:rFonts w:cs="Times New Roman"/>
          <w:i/>
          <w:lang w:val="es-ES"/>
        </w:rPr>
      </w:pPr>
    </w:p>
    <w:p w14:paraId="4A4C3BD3" w14:textId="5996CE96" w:rsidR="004353F1" w:rsidRPr="00E20CFA" w:rsidRDefault="001204A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Nadie puede ser sancionado co</w:t>
      </w:r>
      <w:r w:rsidR="00FE258D" w:rsidRPr="00E20CFA">
        <w:rPr>
          <w:rFonts w:cs="Times New Roman"/>
          <w:lang w:val="es-ES"/>
        </w:rPr>
        <w:t>n</w:t>
      </w:r>
      <w:r w:rsidRPr="00E20CFA">
        <w:rPr>
          <w:rFonts w:cs="Times New Roman"/>
          <w:lang w:val="es-ES"/>
        </w:rPr>
        <w:t xml:space="preserve"> </w:t>
      </w:r>
      <w:r w:rsidR="004F3DF2" w:rsidRPr="00E20CFA">
        <w:rPr>
          <w:rFonts w:cs="Times New Roman"/>
          <w:lang w:val="es-ES"/>
        </w:rPr>
        <w:t>[</w:t>
      </w:r>
      <w:r w:rsidRPr="00E20CFA">
        <w:rPr>
          <w:rFonts w:cs="Times New Roman"/>
          <w:lang w:val="es-ES"/>
        </w:rPr>
        <w:t>pena</w:t>
      </w:r>
      <w:r w:rsidR="00FE258D" w:rsidRPr="00E20CFA">
        <w:rPr>
          <w:rFonts w:cs="Times New Roman"/>
          <w:lang w:val="es-ES"/>
        </w:rPr>
        <w:t xml:space="preserve"> de muerte o</w:t>
      </w:r>
      <w:r w:rsidR="004F3DF2" w:rsidRPr="00E20CFA">
        <w:rPr>
          <w:rFonts w:cs="Times New Roman"/>
          <w:lang w:val="es-ES"/>
        </w:rPr>
        <w:t>]</w:t>
      </w:r>
      <w:r w:rsidR="00FE258D" w:rsidRPr="00E20CFA">
        <w:rPr>
          <w:rFonts w:cs="Times New Roman"/>
          <w:lang w:val="es-ES"/>
        </w:rPr>
        <w:t xml:space="preserve"> pena </w:t>
      </w:r>
      <w:r w:rsidRPr="00E20CFA">
        <w:rPr>
          <w:rFonts w:cs="Times New Roman"/>
          <w:lang w:val="es-ES"/>
        </w:rPr>
        <w:t>privativa de libertad ni declarado culpable de un delito, a menos que</w:t>
      </w:r>
      <w:r w:rsidR="004353F1" w:rsidRPr="00E20CFA">
        <w:rPr>
          <w:rFonts w:cs="Times New Roman"/>
          <w:lang w:val="es-ES"/>
        </w:rPr>
        <w:t>:</w:t>
      </w:r>
    </w:p>
    <w:p w14:paraId="699FE7F0" w14:textId="5FB9191B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a) </w:t>
      </w:r>
      <w:r w:rsidR="001204A1" w:rsidRPr="00E20CFA">
        <w:rPr>
          <w:rFonts w:cs="Times New Roman"/>
          <w:lang w:val="es-ES"/>
        </w:rPr>
        <w:t>Sea condenado, al cabo de un juicio oral y p</w:t>
      </w:r>
      <w:r w:rsidR="004806C3" w:rsidRPr="00E20CFA">
        <w:rPr>
          <w:rFonts w:cs="Times New Roman"/>
          <w:lang w:val="es-ES"/>
        </w:rPr>
        <w:t>ú</w:t>
      </w:r>
      <w:r w:rsidR="001204A1" w:rsidRPr="00E20CFA">
        <w:rPr>
          <w:rFonts w:cs="Times New Roman"/>
          <w:lang w:val="es-ES"/>
        </w:rPr>
        <w:t xml:space="preserve">blico desarrollado de conformidad con las reglas del debido proceso, </w:t>
      </w:r>
      <w:r w:rsidRPr="00E20CFA">
        <w:rPr>
          <w:rFonts w:cs="Times New Roman"/>
          <w:lang w:val="es-ES"/>
        </w:rPr>
        <w:t>por el tribunal independiente e imparcial que señale la ley y que se halle establecido con anterioridad a la realización del hecho</w:t>
      </w:r>
      <w:r w:rsidRPr="00E20CFA">
        <w:rPr>
          <w:rStyle w:val="Refdenotaalpie"/>
          <w:rFonts w:cs="Times New Roman"/>
          <w:lang w:val="es-ES"/>
        </w:rPr>
        <w:footnoteReference w:id="13"/>
      </w:r>
      <w:r w:rsidR="00D3248C" w:rsidRPr="00E20CFA">
        <w:rPr>
          <w:rFonts w:cs="Times New Roman"/>
          <w:lang w:val="es-ES"/>
        </w:rPr>
        <w:t>;</w:t>
      </w:r>
    </w:p>
    <w:p w14:paraId="14F1D027" w14:textId="5B050F2D" w:rsidR="004353F1" w:rsidRPr="00E20CFA" w:rsidRDefault="00882878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c) </w:t>
      </w:r>
      <w:r w:rsidR="001204A1" w:rsidRPr="00E20CFA">
        <w:rPr>
          <w:rFonts w:cs="Times New Roman"/>
          <w:lang w:val="es-ES"/>
        </w:rPr>
        <w:t>S</w:t>
      </w:r>
      <w:r w:rsidR="004353F1" w:rsidRPr="00E20CFA">
        <w:rPr>
          <w:rFonts w:cs="Times New Roman"/>
          <w:lang w:val="es-ES"/>
        </w:rPr>
        <w:t>e presuma su inocencia mientras no se establezca su culpabilidad por medio de una sentencia firme</w:t>
      </w:r>
      <w:r w:rsidR="004353F1" w:rsidRPr="00E20CFA">
        <w:rPr>
          <w:rStyle w:val="Refdenotaalpie"/>
          <w:rFonts w:cs="Times New Roman"/>
          <w:lang w:val="es-ES"/>
        </w:rPr>
        <w:footnoteReference w:id="14"/>
      </w:r>
      <w:r w:rsidR="00D3248C" w:rsidRPr="00E20CFA">
        <w:rPr>
          <w:rFonts w:cs="Times New Roman"/>
          <w:lang w:val="es-ES"/>
        </w:rPr>
        <w:t>;</w:t>
      </w:r>
    </w:p>
    <w:p w14:paraId="1BCB1248" w14:textId="6C24208A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d) </w:t>
      </w:r>
      <w:r w:rsidR="001204A1" w:rsidRPr="00E20CFA">
        <w:rPr>
          <w:rFonts w:cs="Times New Roman"/>
          <w:lang w:val="es-ES"/>
        </w:rPr>
        <w:t>Sea</w:t>
      </w:r>
      <w:r w:rsidRPr="00E20CFA">
        <w:rPr>
          <w:rFonts w:cs="Times New Roman"/>
          <w:lang w:val="es-ES"/>
        </w:rPr>
        <w:t xml:space="preserve"> </w:t>
      </w:r>
      <w:r w:rsidR="001204A1" w:rsidRPr="00E20CFA">
        <w:rPr>
          <w:rFonts w:cs="Times New Roman"/>
          <w:lang w:val="es-ES"/>
        </w:rPr>
        <w:t>asistido</w:t>
      </w:r>
      <w:r w:rsidRPr="00E20CFA">
        <w:rPr>
          <w:rFonts w:cs="Times New Roman"/>
          <w:lang w:val="es-ES"/>
        </w:rPr>
        <w:t>, en todas las etapas del procedimiento, por un abogado defensor proporcionado por el Estado si no nombrare uno en la oportunidad establecida por la ley</w:t>
      </w:r>
      <w:r w:rsidRPr="00E20CFA">
        <w:rPr>
          <w:rStyle w:val="Refdenotaalpie"/>
          <w:rFonts w:cs="Times New Roman"/>
          <w:lang w:val="es-ES"/>
        </w:rPr>
        <w:footnoteReference w:id="15"/>
      </w:r>
      <w:r w:rsidRPr="00E20CFA">
        <w:rPr>
          <w:rFonts w:cs="Times New Roman"/>
          <w:lang w:val="es-ES"/>
        </w:rPr>
        <w:t>. Si carece de medios para pagarlo, a poder ser asistido gratuitamente por un abogado</w:t>
      </w:r>
      <w:r w:rsidRPr="00E20CFA">
        <w:rPr>
          <w:rStyle w:val="Refdenotaalpie"/>
          <w:rFonts w:cs="Times New Roman"/>
          <w:lang w:val="es-ES"/>
        </w:rPr>
        <w:footnoteReference w:id="16"/>
      </w:r>
      <w:r w:rsidR="00D3248C" w:rsidRPr="00E20CFA">
        <w:rPr>
          <w:rFonts w:cs="Times New Roman"/>
          <w:lang w:val="es-ES"/>
        </w:rPr>
        <w:t>;</w:t>
      </w:r>
    </w:p>
    <w:p w14:paraId="6206529F" w14:textId="41013D40" w:rsidR="00941DF6" w:rsidRPr="00E20CFA" w:rsidRDefault="004353F1" w:rsidP="00941DF6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e) </w:t>
      </w:r>
      <w:r w:rsidR="001204A1" w:rsidRPr="00E20CFA">
        <w:rPr>
          <w:rFonts w:cs="Times New Roman"/>
          <w:lang w:val="es-ES"/>
        </w:rPr>
        <w:t xml:space="preserve">Se respete su derecho a </w:t>
      </w:r>
      <w:r w:rsidRPr="00E20CFA">
        <w:rPr>
          <w:rFonts w:cs="Times New Roman"/>
          <w:lang w:val="es-ES"/>
        </w:rPr>
        <w:t>guardar silencio.</w:t>
      </w:r>
      <w:r w:rsidR="002B7F5D" w:rsidRPr="00E20CFA">
        <w:rPr>
          <w:rStyle w:val="Refdenotaalpie"/>
          <w:rFonts w:cs="Times New Roman"/>
          <w:lang w:val="es-ES"/>
        </w:rPr>
        <w:footnoteReference w:id="17"/>
      </w:r>
      <w:r w:rsidRPr="00E20CFA">
        <w:rPr>
          <w:rFonts w:cs="Times New Roman"/>
          <w:lang w:val="es-ES"/>
        </w:rPr>
        <w:t xml:space="preserve"> Dicho derecho podrá ser ejercido en todas las etapas del procedimiento y ante cualquier autoridad o magistratura que requiriere su declaración</w:t>
      </w:r>
      <w:r w:rsidR="00D3248C" w:rsidRPr="00E20CFA">
        <w:rPr>
          <w:rFonts w:cs="Times New Roman"/>
          <w:lang w:val="es-ES"/>
        </w:rPr>
        <w:t>, y</w:t>
      </w:r>
    </w:p>
    <w:p w14:paraId="59C8636B" w14:textId="279C9B7E" w:rsidR="00941DF6" w:rsidRPr="00E20CFA" w:rsidRDefault="00941DF6" w:rsidP="00941DF6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b) Se le reconozca el derecho oponerse a la transmisión del juicio al público por medios telemáticos.</w:t>
      </w:r>
    </w:p>
    <w:p w14:paraId="58890AC7" w14:textId="2FBED129" w:rsidR="004353F1" w:rsidRPr="00E20CFA" w:rsidRDefault="004353F1" w:rsidP="004353F1">
      <w:pPr>
        <w:ind w:firstLine="708"/>
        <w:rPr>
          <w:rFonts w:cs="Times New Roman"/>
          <w:lang w:val="es-ES"/>
        </w:rPr>
      </w:pPr>
    </w:p>
    <w:p w14:paraId="1C6F5E18" w14:textId="466ADF72" w:rsidR="004353F1" w:rsidRPr="00E20CFA" w:rsidRDefault="004353F1" w:rsidP="004353F1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 xml:space="preserve">La persona condenada, absuelta o sobreseída definitivamente por sentencia firme, no podrá ser sometida a un nuevo procedimiento penal </w:t>
      </w:r>
      <w:r w:rsidR="00C64238" w:rsidRPr="00E20CFA">
        <w:rPr>
          <w:rFonts w:cs="Times New Roman"/>
          <w:lang w:val="es-ES"/>
        </w:rPr>
        <w:t xml:space="preserve">ni </w:t>
      </w:r>
      <w:r w:rsidRPr="00E20CFA">
        <w:rPr>
          <w:rFonts w:cs="Times New Roman"/>
          <w:lang w:val="es-ES"/>
        </w:rPr>
        <w:t>sancionada penalmente por el mismo hecho</w:t>
      </w:r>
      <w:r w:rsidRPr="00E20CFA">
        <w:rPr>
          <w:rStyle w:val="Refdenotaalpie"/>
          <w:rFonts w:cs="Times New Roman"/>
          <w:lang w:val="es-ES"/>
        </w:rPr>
        <w:footnoteReference w:id="18"/>
      </w:r>
      <w:r w:rsidRPr="00E20CFA">
        <w:rPr>
          <w:rFonts w:cs="Times New Roman"/>
          <w:lang w:val="es-ES"/>
        </w:rPr>
        <w:t>.</w:t>
      </w:r>
    </w:p>
    <w:p w14:paraId="4486C156" w14:textId="443469AB" w:rsidR="003632FD" w:rsidRPr="00E20CFA" w:rsidRDefault="00CE78FF" w:rsidP="00E20CFA">
      <w:pPr>
        <w:ind w:firstLine="708"/>
        <w:rPr>
          <w:rFonts w:cs="Times New Roman"/>
          <w:lang w:val="es-ES"/>
        </w:rPr>
      </w:pPr>
      <w:r w:rsidRPr="00E20CFA">
        <w:rPr>
          <w:rFonts w:cs="Times New Roman"/>
          <w:lang w:val="es-ES"/>
        </w:rPr>
        <w:t>La persona que haya sido condenada mediante sentencia firme, tendrá el derecho a ser indemnizada conforme a la ley</w:t>
      </w:r>
      <w:r w:rsidR="007E1650" w:rsidRPr="00E20CFA">
        <w:rPr>
          <w:rFonts w:cs="Times New Roman"/>
          <w:lang w:val="es-ES"/>
        </w:rPr>
        <w:t xml:space="preserve"> si es posteriormente absuelta con declaración de que la condena se debió a un error judicial injustificado</w:t>
      </w:r>
      <w:r w:rsidRPr="00E20CFA">
        <w:rPr>
          <w:rStyle w:val="Refdenotaalpie"/>
          <w:rFonts w:cs="Times New Roman"/>
          <w:lang w:val="es-ES"/>
        </w:rPr>
        <w:footnoteReference w:id="19"/>
      </w:r>
      <w:r w:rsidRPr="00E20CFA">
        <w:rPr>
          <w:rFonts w:cs="Times New Roman"/>
          <w:lang w:val="es-ES"/>
        </w:rPr>
        <w:t>.</w:t>
      </w:r>
    </w:p>
    <w:sectPr w:rsidR="003632FD" w:rsidRPr="00E20CFA" w:rsidSect="003F7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0676" w14:textId="77777777" w:rsidR="00CC4EE7" w:rsidRDefault="00CC4EE7" w:rsidP="003E6365">
      <w:r>
        <w:separator/>
      </w:r>
    </w:p>
  </w:endnote>
  <w:endnote w:type="continuationSeparator" w:id="0">
    <w:p w14:paraId="6761A5B9" w14:textId="77777777" w:rsidR="00CC4EE7" w:rsidRDefault="00CC4EE7" w:rsidP="003E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76C7" w14:textId="77777777" w:rsidR="00CC4EE7" w:rsidRPr="00E20CFA" w:rsidRDefault="00CC4EE7" w:rsidP="00E20CFA">
      <w:pPr>
        <w:pStyle w:val="Piedepgina"/>
      </w:pPr>
    </w:p>
  </w:footnote>
  <w:footnote w:type="continuationSeparator" w:id="0">
    <w:p w14:paraId="36B78E8E" w14:textId="77777777" w:rsidR="00CC4EE7" w:rsidRDefault="00CC4EE7" w:rsidP="003E6365"/>
  </w:footnote>
  <w:footnote w:type="continuationNotice" w:id="1">
    <w:p w14:paraId="7177D81F" w14:textId="77777777" w:rsidR="00CC4EE7" w:rsidRDefault="00CC4EE7"/>
  </w:footnote>
  <w:footnote w:id="2">
    <w:p w14:paraId="6CEC7D95" w14:textId="5B219BC7" w:rsidR="00A5737C" w:rsidRPr="00A5737C" w:rsidRDefault="00A5737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5737C">
        <w:rPr>
          <w:lang w:val="en-US"/>
        </w:rPr>
        <w:t xml:space="preserve"> A</w:t>
      </w:r>
      <w:r>
        <w:rPr>
          <w:lang w:val="en-US"/>
        </w:rPr>
        <w:t>rts. 7 Nr.1 CADH y 9 Inc. 1º PIDCP; Art. 5 Inc. 1º CEDH</w:t>
      </w:r>
      <w:r w:rsidR="00737F91">
        <w:rPr>
          <w:lang w:val="en-US"/>
        </w:rPr>
        <w:t xml:space="preserve">; Art. 17 inc. 1º </w:t>
      </w:r>
      <w:proofErr w:type="spellStart"/>
      <w:r w:rsidR="00737F91">
        <w:rPr>
          <w:lang w:val="en-US"/>
        </w:rPr>
        <w:t>C</w:t>
      </w:r>
      <w:r w:rsidR="000750C9">
        <w:rPr>
          <w:lang w:val="en-US"/>
        </w:rPr>
        <w:t>onstitución</w:t>
      </w:r>
      <w:proofErr w:type="spellEnd"/>
      <w:r w:rsidR="00737F91">
        <w:rPr>
          <w:lang w:val="en-US"/>
        </w:rPr>
        <w:t xml:space="preserve"> Españ</w:t>
      </w:r>
      <w:r w:rsidR="000750C9">
        <w:rPr>
          <w:lang w:val="en-US"/>
        </w:rPr>
        <w:t>ola</w:t>
      </w:r>
      <w:r>
        <w:rPr>
          <w:lang w:val="en-US"/>
        </w:rPr>
        <w:t>.</w:t>
      </w:r>
    </w:p>
  </w:footnote>
  <w:footnote w:id="3">
    <w:p w14:paraId="479AA7FA" w14:textId="67308DA6" w:rsidR="002E532E" w:rsidRPr="002E532E" w:rsidRDefault="002E532E" w:rsidP="0001321A">
      <w:pPr>
        <w:pStyle w:val="Textonotapie"/>
        <w:tabs>
          <w:tab w:val="left" w:pos="2573"/>
        </w:tabs>
        <w:rPr>
          <w:lang w:val="en-US"/>
        </w:rPr>
      </w:pPr>
      <w:r>
        <w:rPr>
          <w:rStyle w:val="Refdenotaalpie"/>
        </w:rPr>
        <w:footnoteRef/>
      </w:r>
      <w:r w:rsidRPr="002E532E">
        <w:rPr>
          <w:lang w:val="en-US"/>
        </w:rPr>
        <w:t xml:space="preserve"> Art. 5 C</w:t>
      </w:r>
      <w:r>
        <w:rPr>
          <w:lang w:val="en-US"/>
        </w:rPr>
        <w:t>EDH</w:t>
      </w:r>
      <w:r w:rsidR="00726FF3">
        <w:rPr>
          <w:lang w:val="en-US"/>
        </w:rPr>
        <w:t xml:space="preserve">; Art. 12 </w:t>
      </w:r>
      <w:proofErr w:type="spellStart"/>
      <w:r w:rsidR="00726FF3">
        <w:rPr>
          <w:lang w:val="en-US"/>
        </w:rPr>
        <w:t>Constitución</w:t>
      </w:r>
      <w:proofErr w:type="spellEnd"/>
      <w:r w:rsidR="00726FF3">
        <w:rPr>
          <w:lang w:val="en-US"/>
        </w:rPr>
        <w:t xml:space="preserve"> </w:t>
      </w:r>
      <w:proofErr w:type="spellStart"/>
      <w:r w:rsidR="00726FF3">
        <w:rPr>
          <w:lang w:val="en-US"/>
        </w:rPr>
        <w:t>Uruguaya</w:t>
      </w:r>
      <w:proofErr w:type="spellEnd"/>
      <w:r w:rsidR="00726FF3">
        <w:rPr>
          <w:lang w:val="en-US"/>
        </w:rPr>
        <w:t xml:space="preserve">; Art. 2º numeral 24 </w:t>
      </w:r>
      <w:proofErr w:type="spellStart"/>
      <w:r w:rsidR="00726FF3">
        <w:rPr>
          <w:lang w:val="en-US"/>
        </w:rPr>
        <w:t>letra</w:t>
      </w:r>
      <w:proofErr w:type="spellEnd"/>
      <w:r w:rsidR="00726FF3">
        <w:rPr>
          <w:lang w:val="en-US"/>
        </w:rPr>
        <w:t xml:space="preserve"> f) </w:t>
      </w:r>
      <w:proofErr w:type="spellStart"/>
      <w:r w:rsidR="00726FF3">
        <w:rPr>
          <w:lang w:val="en-US"/>
        </w:rPr>
        <w:t>Constitución</w:t>
      </w:r>
      <w:proofErr w:type="spellEnd"/>
      <w:r w:rsidR="00726FF3">
        <w:rPr>
          <w:lang w:val="en-US"/>
        </w:rPr>
        <w:t xml:space="preserve"> Peruana.</w:t>
      </w:r>
    </w:p>
  </w:footnote>
  <w:footnote w:id="4">
    <w:p w14:paraId="132AFC90" w14:textId="77777777" w:rsidR="004A1F8F" w:rsidRPr="004A1F8F" w:rsidRDefault="004A1F8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A1F8F">
        <w:rPr>
          <w:lang w:val="en-US"/>
        </w:rPr>
        <w:t xml:space="preserve"> A</w:t>
      </w:r>
      <w:r>
        <w:rPr>
          <w:lang w:val="en-US"/>
        </w:rPr>
        <w:t>rt. 5 a) CEDH</w:t>
      </w:r>
    </w:p>
  </w:footnote>
  <w:footnote w:id="5">
    <w:p w14:paraId="7327D283" w14:textId="77777777" w:rsidR="002D052B" w:rsidRPr="002D052B" w:rsidRDefault="002D052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D052B">
        <w:rPr>
          <w:lang w:val="en-US"/>
        </w:rPr>
        <w:t xml:space="preserve"> </w:t>
      </w:r>
      <w:r>
        <w:rPr>
          <w:lang w:val="en-US"/>
        </w:rPr>
        <w:t xml:space="preserve">CRP </w:t>
      </w:r>
      <w:proofErr w:type="spellStart"/>
      <w:r>
        <w:rPr>
          <w:lang w:val="en-US"/>
        </w:rPr>
        <w:t>Italiana</w:t>
      </w:r>
      <w:proofErr w:type="spellEnd"/>
      <w:r>
        <w:rPr>
          <w:lang w:val="en-US"/>
        </w:rPr>
        <w:t>, Art. 13 inc. 2.</w:t>
      </w:r>
    </w:p>
  </w:footnote>
  <w:footnote w:id="6">
    <w:p w14:paraId="59C3E040" w14:textId="77777777" w:rsidR="009D5E05" w:rsidRPr="0001321A" w:rsidRDefault="009D5E05">
      <w:pPr>
        <w:pStyle w:val="Textonotapie"/>
      </w:pPr>
      <w:r>
        <w:rPr>
          <w:rStyle w:val="Refdenotaalpie"/>
        </w:rPr>
        <w:footnoteRef/>
      </w:r>
      <w:r w:rsidRPr="0001321A">
        <w:t xml:space="preserve"> Art. 5 f) CEDH.</w:t>
      </w:r>
    </w:p>
  </w:footnote>
  <w:footnote w:id="7">
    <w:p w14:paraId="4A7EF069" w14:textId="03DE002E" w:rsidR="005C3AE1" w:rsidRPr="00CD42E7" w:rsidRDefault="005C3AE1" w:rsidP="005C3AE1">
      <w:pPr>
        <w:pStyle w:val="Textonotapie"/>
      </w:pPr>
      <w:r>
        <w:rPr>
          <w:rStyle w:val="Refdenotaalpie"/>
        </w:rPr>
        <w:footnoteRef/>
      </w:r>
      <w:r w:rsidRPr="0001321A">
        <w:t xml:space="preserve"> Art. 17 inc. 3º </w:t>
      </w:r>
      <w:r w:rsidR="000750C9" w:rsidRPr="0001321A">
        <w:t>Constitución Española</w:t>
      </w:r>
      <w:r w:rsidRPr="0001321A">
        <w:t>; art. 9 inc. 2º PIDCP</w:t>
      </w:r>
      <w:r w:rsidR="002B7F5D" w:rsidRPr="0001321A">
        <w:t>; A</w:t>
      </w:r>
      <w:r w:rsidR="002B7F5D">
        <w:t xml:space="preserve">rt. 20 letra B), II y III Constitución Mexicana. </w:t>
      </w:r>
    </w:p>
  </w:footnote>
  <w:footnote w:id="8">
    <w:p w14:paraId="1AECFD46" w14:textId="04CE96BF" w:rsidR="00647733" w:rsidRPr="0001321A" w:rsidRDefault="00647733">
      <w:pPr>
        <w:pStyle w:val="Textonotapie"/>
      </w:pPr>
      <w:r>
        <w:rPr>
          <w:rStyle w:val="Refdenotaalpie"/>
        </w:rPr>
        <w:footnoteRef/>
      </w:r>
      <w:r w:rsidRPr="0001321A">
        <w:t xml:space="preserve"> Art. 16 inc. 4º Constitución Mexicana.</w:t>
      </w:r>
    </w:p>
  </w:footnote>
  <w:footnote w:id="9">
    <w:p w14:paraId="02D9BAF9" w14:textId="77777777" w:rsidR="00B02E08" w:rsidRPr="00CD42E7" w:rsidRDefault="00B02E08">
      <w:pPr>
        <w:pStyle w:val="Textonotapie"/>
      </w:pPr>
      <w:r>
        <w:rPr>
          <w:rStyle w:val="Refdenotaalpie"/>
        </w:rPr>
        <w:footnoteRef/>
      </w:r>
      <w:r w:rsidRPr="00CD42E7">
        <w:t xml:space="preserve"> CPR 1925, art. 14.</w:t>
      </w:r>
    </w:p>
  </w:footnote>
  <w:footnote w:id="10">
    <w:p w14:paraId="75E6993A" w14:textId="02459A6B" w:rsidR="00640DE8" w:rsidRPr="00CD42E7" w:rsidRDefault="00640DE8">
      <w:pPr>
        <w:pStyle w:val="Textonotapie"/>
      </w:pPr>
      <w:r>
        <w:rPr>
          <w:rStyle w:val="Refdenotaalpie"/>
        </w:rPr>
        <w:footnoteRef/>
      </w:r>
      <w:r w:rsidRPr="00CD42E7">
        <w:t xml:space="preserve"> Art. 10.2. a) PIDCP</w:t>
      </w:r>
      <w:r w:rsidR="000467ED" w:rsidRPr="00CD42E7">
        <w:t>; Art. 18 inc. 1º Constitución Mexicana.</w:t>
      </w:r>
    </w:p>
  </w:footnote>
  <w:footnote w:id="11">
    <w:p w14:paraId="2A913DCF" w14:textId="57143D3F" w:rsidR="00F4571C" w:rsidRPr="0055098C" w:rsidRDefault="00F4571C" w:rsidP="00F4571C">
      <w:pPr>
        <w:pStyle w:val="Textonotapie"/>
      </w:pPr>
      <w:r>
        <w:rPr>
          <w:rStyle w:val="Refdenotaalpie"/>
        </w:rPr>
        <w:footnoteRef/>
      </w:r>
      <w:r w:rsidRPr="0055098C">
        <w:t xml:space="preserve"> Art. 104 Inc. 1º </w:t>
      </w:r>
      <w:r w:rsidR="000750C9" w:rsidRPr="0055098C">
        <w:t>Ley Fundamental Alemana</w:t>
      </w:r>
      <w:r w:rsidRPr="0055098C">
        <w:t xml:space="preserve">. Similar: </w:t>
      </w:r>
      <w:r w:rsidR="000750C9" w:rsidRPr="0055098C">
        <w:t>A</w:t>
      </w:r>
      <w:r w:rsidRPr="0055098C">
        <w:t xml:space="preserve">rt. 13 inc. 4 </w:t>
      </w:r>
      <w:r w:rsidR="000750C9" w:rsidRPr="0055098C">
        <w:t>Constitución Italiana</w:t>
      </w:r>
      <w:r w:rsidRPr="0055098C">
        <w:t>.</w:t>
      </w:r>
    </w:p>
  </w:footnote>
  <w:footnote w:id="12">
    <w:p w14:paraId="20FD02CC" w14:textId="0D0AF22E" w:rsidR="00534482" w:rsidRPr="00534482" w:rsidRDefault="00534482" w:rsidP="00534482">
      <w:pPr>
        <w:pStyle w:val="Textonotapie"/>
      </w:pPr>
      <w:r>
        <w:rPr>
          <w:rStyle w:val="Refdenotaalpie"/>
        </w:rPr>
        <w:footnoteRef/>
      </w:r>
      <w:r w:rsidRPr="00534482">
        <w:t xml:space="preserve"> </w:t>
      </w:r>
      <w:r w:rsidR="00463DCB">
        <w:t xml:space="preserve">Art. 7º protocolo 4 CEDH; </w:t>
      </w:r>
      <w:r w:rsidRPr="00534482">
        <w:t>Art. 1 protocolo 4 al Convenio para la Protección de los Derechos Humanos y de las Libertades Fundamentales</w:t>
      </w:r>
      <w:r>
        <w:t>; art. 7.7 CADH</w:t>
      </w:r>
      <w:r w:rsidR="00623E1F">
        <w:t>; art. 17 inc. final Constitución Mexicana</w:t>
      </w:r>
      <w:r w:rsidR="00726FF3">
        <w:t>; Art. 2 numeral 24 letra c) Constitución Peruana.</w:t>
      </w:r>
    </w:p>
  </w:footnote>
  <w:footnote w:id="13">
    <w:p w14:paraId="2561025C" w14:textId="77777777" w:rsidR="004353F1" w:rsidRPr="002B7F5D" w:rsidRDefault="004353F1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Art. 12, CPR 1925; 19 </w:t>
      </w:r>
      <w:proofErr w:type="spellStart"/>
      <w:r w:rsidRPr="002B7F5D">
        <w:t>Nr</w:t>
      </w:r>
      <w:proofErr w:type="spellEnd"/>
      <w:r w:rsidRPr="002B7F5D">
        <w:t>. 3 CPR 1980.</w:t>
      </w:r>
    </w:p>
  </w:footnote>
  <w:footnote w:id="14">
    <w:p w14:paraId="15A44A62" w14:textId="77F99969" w:rsidR="004353F1" w:rsidRPr="002B7F5D" w:rsidRDefault="004353F1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Art. 8º CADH; Art. 32 inc. 1 C</w:t>
      </w:r>
      <w:r w:rsidR="000750C9" w:rsidRPr="002B7F5D">
        <w:t>onstitución Federación</w:t>
      </w:r>
      <w:r w:rsidRPr="002B7F5D">
        <w:t xml:space="preserve"> Suiza</w:t>
      </w:r>
      <w:r w:rsidR="00AB576F" w:rsidRPr="002B7F5D">
        <w:t>; Art. 20, letra B), I</w:t>
      </w:r>
      <w:r w:rsidR="00105092" w:rsidRPr="002B7F5D">
        <w:t xml:space="preserve">; </w:t>
      </w:r>
      <w:r w:rsidR="00105092" w:rsidRPr="00CD42E7">
        <w:t>Art. 2 numeral 24 letra e) Constitución Peruana.</w:t>
      </w:r>
    </w:p>
  </w:footnote>
  <w:footnote w:id="15">
    <w:p w14:paraId="5AC6459A" w14:textId="66DF7B2A" w:rsidR="004353F1" w:rsidRPr="00AB576F" w:rsidRDefault="004353F1" w:rsidP="00CD42E7">
      <w:pPr>
        <w:pStyle w:val="Textonotapie"/>
      </w:pPr>
      <w:r>
        <w:rPr>
          <w:rStyle w:val="Refdenotaalpie"/>
        </w:rPr>
        <w:footnoteRef/>
      </w:r>
      <w:r w:rsidRPr="00AB576F">
        <w:t xml:space="preserve"> Art. 19 </w:t>
      </w:r>
      <w:proofErr w:type="spellStart"/>
      <w:r w:rsidRPr="00AB576F">
        <w:t>Nr</w:t>
      </w:r>
      <w:proofErr w:type="spellEnd"/>
      <w:r w:rsidRPr="00AB576F">
        <w:t>. 3 CPR 1980</w:t>
      </w:r>
      <w:r w:rsidR="00AB576F" w:rsidRPr="00AB576F">
        <w:t>; Art. 20 letra B), VIII Constitución Mexicana</w:t>
      </w:r>
      <w:r w:rsidRPr="00AB576F">
        <w:t>.</w:t>
      </w:r>
    </w:p>
  </w:footnote>
  <w:footnote w:id="16">
    <w:p w14:paraId="03690109" w14:textId="3D7F5505" w:rsidR="004353F1" w:rsidRPr="0055098C" w:rsidRDefault="004353F1" w:rsidP="00CD42E7">
      <w:pPr>
        <w:pStyle w:val="Textonotapie"/>
      </w:pPr>
      <w:r>
        <w:rPr>
          <w:rStyle w:val="Refdenotaalpie"/>
        </w:rPr>
        <w:footnoteRef/>
      </w:r>
      <w:r w:rsidRPr="0055098C">
        <w:t xml:space="preserve"> Art. 6.3 c) Convenio de Roma</w:t>
      </w:r>
      <w:r w:rsidR="00726FF3">
        <w:t>; Art. 254 Constitución Uruguaya; Art. 139 numeral 16 Constitución Peruana.</w:t>
      </w:r>
    </w:p>
  </w:footnote>
  <w:footnote w:id="17">
    <w:p w14:paraId="3CE77817" w14:textId="769678D3" w:rsidR="002B7F5D" w:rsidRPr="002B7F5D" w:rsidRDefault="002B7F5D" w:rsidP="00CD42E7">
      <w:pPr>
        <w:pStyle w:val="Textonotapie"/>
      </w:pPr>
      <w:r>
        <w:rPr>
          <w:rStyle w:val="Refdenotaalpie"/>
        </w:rPr>
        <w:footnoteRef/>
      </w:r>
      <w:r w:rsidRPr="002B7F5D">
        <w:t xml:space="preserve"> </w:t>
      </w:r>
      <w:r w:rsidRPr="00CD42E7">
        <w:t>Art. 20 letra B), II Constitución</w:t>
      </w:r>
      <w:r>
        <w:t xml:space="preserve"> Mexicana. </w:t>
      </w:r>
    </w:p>
  </w:footnote>
  <w:footnote w:id="18">
    <w:p w14:paraId="6E5972CF" w14:textId="77777777" w:rsidR="004353F1" w:rsidRPr="00726FF3" w:rsidRDefault="004353F1" w:rsidP="00CD42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26FF3">
        <w:rPr>
          <w:lang w:val="en-US"/>
        </w:rPr>
        <w:t xml:space="preserve"> Art. 1 inc. 2º CPP Chile.</w:t>
      </w:r>
    </w:p>
  </w:footnote>
  <w:footnote w:id="19">
    <w:p w14:paraId="055ED65D" w14:textId="6C3ABDBB" w:rsidR="00CE78FF" w:rsidRPr="00105092" w:rsidRDefault="00CE78FF" w:rsidP="00CD42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105092">
        <w:rPr>
          <w:lang w:val="en-US"/>
        </w:rPr>
        <w:t xml:space="preserve"> Art. 10 CADH; Art. 9.5 PIDCP</w:t>
      </w:r>
      <w:r w:rsidR="00105092" w:rsidRPr="00CD42E7">
        <w:rPr>
          <w:lang w:val="en-US"/>
        </w:rPr>
        <w:t>; Art. 12</w:t>
      </w:r>
      <w:r w:rsidR="00105092">
        <w:rPr>
          <w:lang w:val="en-US"/>
        </w:rPr>
        <w:t xml:space="preserve">1 </w:t>
      </w:r>
      <w:proofErr w:type="spellStart"/>
      <w:r w:rsidR="00105092">
        <w:rPr>
          <w:lang w:val="en-US"/>
        </w:rPr>
        <w:t>Constitución</w:t>
      </w:r>
      <w:proofErr w:type="spellEnd"/>
      <w:r w:rsidR="00105092">
        <w:rPr>
          <w:lang w:val="en-US"/>
        </w:rPr>
        <w:t xml:space="preserve"> Española; Art. 139 numeral 7 </w:t>
      </w:r>
      <w:proofErr w:type="spellStart"/>
      <w:r w:rsidR="00105092">
        <w:rPr>
          <w:lang w:val="en-US"/>
        </w:rPr>
        <w:t>Constitución</w:t>
      </w:r>
      <w:proofErr w:type="spellEnd"/>
      <w:r w:rsidR="00105092">
        <w:rPr>
          <w:lang w:val="en-US"/>
        </w:rPr>
        <w:t xml:space="preserve"> Peruana.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2D0"/>
    <w:multiLevelType w:val="hybridMultilevel"/>
    <w:tmpl w:val="877AC2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E6D63"/>
    <w:multiLevelType w:val="hybridMultilevel"/>
    <w:tmpl w:val="DF0678BE"/>
    <w:lvl w:ilvl="0" w:tplc="5A4CA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19"/>
    <w:rsid w:val="0001321A"/>
    <w:rsid w:val="000177B8"/>
    <w:rsid w:val="000236FB"/>
    <w:rsid w:val="00025C39"/>
    <w:rsid w:val="000467ED"/>
    <w:rsid w:val="000750C9"/>
    <w:rsid w:val="000C00EE"/>
    <w:rsid w:val="000E1F51"/>
    <w:rsid w:val="000E521C"/>
    <w:rsid w:val="000E7AC4"/>
    <w:rsid w:val="00105092"/>
    <w:rsid w:val="00115AD3"/>
    <w:rsid w:val="001204A1"/>
    <w:rsid w:val="00134E1E"/>
    <w:rsid w:val="0015629F"/>
    <w:rsid w:val="00196F0A"/>
    <w:rsid w:val="001B1768"/>
    <w:rsid w:val="00200536"/>
    <w:rsid w:val="00215F62"/>
    <w:rsid w:val="002274F7"/>
    <w:rsid w:val="00255511"/>
    <w:rsid w:val="00297F5C"/>
    <w:rsid w:val="002B7F5D"/>
    <w:rsid w:val="002C16E7"/>
    <w:rsid w:val="002D052B"/>
    <w:rsid w:val="002E532E"/>
    <w:rsid w:val="002E5C51"/>
    <w:rsid w:val="00344FD6"/>
    <w:rsid w:val="00345203"/>
    <w:rsid w:val="003615CC"/>
    <w:rsid w:val="003632FD"/>
    <w:rsid w:val="003639C8"/>
    <w:rsid w:val="00365C99"/>
    <w:rsid w:val="00386EA6"/>
    <w:rsid w:val="00395D87"/>
    <w:rsid w:val="003C765E"/>
    <w:rsid w:val="003E47D7"/>
    <w:rsid w:val="003E6365"/>
    <w:rsid w:val="003F7648"/>
    <w:rsid w:val="004101A1"/>
    <w:rsid w:val="00412F4D"/>
    <w:rsid w:val="004353F1"/>
    <w:rsid w:val="00435BE8"/>
    <w:rsid w:val="00463DCB"/>
    <w:rsid w:val="0046443F"/>
    <w:rsid w:val="00467E6C"/>
    <w:rsid w:val="00477C25"/>
    <w:rsid w:val="004806C3"/>
    <w:rsid w:val="0048379B"/>
    <w:rsid w:val="004A1F8F"/>
    <w:rsid w:val="004A41BC"/>
    <w:rsid w:val="004A7AD8"/>
    <w:rsid w:val="004B2BD3"/>
    <w:rsid w:val="004F3DF2"/>
    <w:rsid w:val="0053273C"/>
    <w:rsid w:val="00533D42"/>
    <w:rsid w:val="00534482"/>
    <w:rsid w:val="00537421"/>
    <w:rsid w:val="0055098C"/>
    <w:rsid w:val="005629B6"/>
    <w:rsid w:val="00583C8C"/>
    <w:rsid w:val="005A1FC7"/>
    <w:rsid w:val="005B26FD"/>
    <w:rsid w:val="005C3AE1"/>
    <w:rsid w:val="005E6DAE"/>
    <w:rsid w:val="005F3D1A"/>
    <w:rsid w:val="00614F83"/>
    <w:rsid w:val="00623E1F"/>
    <w:rsid w:val="0062644E"/>
    <w:rsid w:val="00635C9E"/>
    <w:rsid w:val="00640DE8"/>
    <w:rsid w:val="00642B3D"/>
    <w:rsid w:val="00647733"/>
    <w:rsid w:val="00691DCD"/>
    <w:rsid w:val="006F1C54"/>
    <w:rsid w:val="006F4E26"/>
    <w:rsid w:val="00706F2C"/>
    <w:rsid w:val="007113B9"/>
    <w:rsid w:val="00726FF3"/>
    <w:rsid w:val="00736854"/>
    <w:rsid w:val="00737F91"/>
    <w:rsid w:val="00744E1D"/>
    <w:rsid w:val="007463E4"/>
    <w:rsid w:val="007673A0"/>
    <w:rsid w:val="007817BE"/>
    <w:rsid w:val="007922E6"/>
    <w:rsid w:val="007E1650"/>
    <w:rsid w:val="00825B8D"/>
    <w:rsid w:val="008426BD"/>
    <w:rsid w:val="00842A5E"/>
    <w:rsid w:val="00864DF8"/>
    <w:rsid w:val="00882878"/>
    <w:rsid w:val="0089263E"/>
    <w:rsid w:val="00897B19"/>
    <w:rsid w:val="008C6885"/>
    <w:rsid w:val="008D65B8"/>
    <w:rsid w:val="008F361A"/>
    <w:rsid w:val="009016DC"/>
    <w:rsid w:val="009031F0"/>
    <w:rsid w:val="009118BD"/>
    <w:rsid w:val="00941DF6"/>
    <w:rsid w:val="009644C2"/>
    <w:rsid w:val="009B1332"/>
    <w:rsid w:val="009B33CC"/>
    <w:rsid w:val="009D5E05"/>
    <w:rsid w:val="009E6735"/>
    <w:rsid w:val="009F2362"/>
    <w:rsid w:val="00A06283"/>
    <w:rsid w:val="00A32CC7"/>
    <w:rsid w:val="00A34CF9"/>
    <w:rsid w:val="00A5737C"/>
    <w:rsid w:val="00A6726A"/>
    <w:rsid w:val="00A81584"/>
    <w:rsid w:val="00AA2367"/>
    <w:rsid w:val="00AB576F"/>
    <w:rsid w:val="00AE2F9B"/>
    <w:rsid w:val="00B02E08"/>
    <w:rsid w:val="00B51C14"/>
    <w:rsid w:val="00B5750E"/>
    <w:rsid w:val="00C64238"/>
    <w:rsid w:val="00CA2006"/>
    <w:rsid w:val="00CC4EE7"/>
    <w:rsid w:val="00CC688F"/>
    <w:rsid w:val="00CD42E7"/>
    <w:rsid w:val="00CD7A31"/>
    <w:rsid w:val="00CE78FF"/>
    <w:rsid w:val="00D13083"/>
    <w:rsid w:val="00D3248C"/>
    <w:rsid w:val="00D70D8C"/>
    <w:rsid w:val="00DB0C73"/>
    <w:rsid w:val="00DD2E9E"/>
    <w:rsid w:val="00DF3FC4"/>
    <w:rsid w:val="00E007E5"/>
    <w:rsid w:val="00E10795"/>
    <w:rsid w:val="00E128E7"/>
    <w:rsid w:val="00E20CFA"/>
    <w:rsid w:val="00E81F6E"/>
    <w:rsid w:val="00E96385"/>
    <w:rsid w:val="00EA5653"/>
    <w:rsid w:val="00EB4C5B"/>
    <w:rsid w:val="00EC67F2"/>
    <w:rsid w:val="00F34AD5"/>
    <w:rsid w:val="00F4571C"/>
    <w:rsid w:val="00F6411F"/>
    <w:rsid w:val="00F92D86"/>
    <w:rsid w:val="00FB1196"/>
    <w:rsid w:val="00FC20A7"/>
    <w:rsid w:val="00FE258D"/>
    <w:rsid w:val="00FE2FBB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920B"/>
  <w15:chartTrackingRefBased/>
  <w15:docId w15:val="{45BFA3AD-876B-304F-A832-6767DB46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FA"/>
    <w:pPr>
      <w:jc w:val="both"/>
    </w:pPr>
    <w:rPr>
      <w:rFonts w:ascii="High Tower Text" w:hAnsi="High Tower Tex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E63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3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63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A1F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83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C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C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C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2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3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321A"/>
  </w:style>
  <w:style w:type="paragraph" w:styleId="Ttulo">
    <w:name w:val="Title"/>
    <w:basedOn w:val="Normal"/>
    <w:next w:val="Normal"/>
    <w:link w:val="TtuloCar"/>
    <w:uiPriority w:val="10"/>
    <w:qFormat/>
    <w:rsid w:val="00E81F6E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1F6E"/>
    <w:rPr>
      <w:rFonts w:ascii="High Tower Text" w:eastAsiaTheme="majorEastAsia" w:hAnsi="High Tower Text" w:cstheme="majorBidi"/>
      <w:spacing w:val="-10"/>
      <w:kern w:val="28"/>
      <w:szCs w:val="56"/>
    </w:rPr>
  </w:style>
  <w:style w:type="paragraph" w:customStyle="1" w:styleId="Autor">
    <w:name w:val="Autor"/>
    <w:basedOn w:val="Normal"/>
    <w:qFormat/>
    <w:rsid w:val="00E81F6E"/>
    <w:pPr>
      <w:jc w:val="right"/>
    </w:pPr>
    <w:rPr>
      <w:lang w:val="es-ES"/>
    </w:rPr>
  </w:style>
  <w:style w:type="character" w:styleId="nfasissutil">
    <w:name w:val="Subtle Emphasis"/>
    <w:basedOn w:val="Fuentedeprrafopredeter"/>
    <w:uiPriority w:val="19"/>
    <w:qFormat/>
    <w:rsid w:val="00E81F6E"/>
    <w:rPr>
      <w:i/>
      <w:iCs/>
      <w:color w:val="404040" w:themeColor="text1" w:themeTint="BF"/>
    </w:rPr>
  </w:style>
  <w:style w:type="paragraph" w:customStyle="1" w:styleId="Bajada">
    <w:name w:val="Bajada"/>
    <w:basedOn w:val="Normal"/>
    <w:qFormat/>
    <w:rsid w:val="00E20CFA"/>
    <w:pPr>
      <w:spacing w:before="240" w:after="240"/>
    </w:pPr>
    <w:rPr>
      <w:i/>
    </w:rPr>
  </w:style>
  <w:style w:type="paragraph" w:styleId="Piedepgina">
    <w:name w:val="footer"/>
    <w:basedOn w:val="Normal"/>
    <w:link w:val="PiedepginaCar"/>
    <w:uiPriority w:val="99"/>
    <w:semiHidden/>
    <w:unhideWhenUsed/>
    <w:rsid w:val="00E20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CFA"/>
    <w:rPr>
      <w:rFonts w:ascii="High Tower Text" w:hAnsi="High Tower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8FA82-C2ED-4EA5-BFEB-59F00EF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Rodrigo Correa</cp:lastModifiedBy>
  <cp:revision>4</cp:revision>
  <dcterms:created xsi:type="dcterms:W3CDTF">2022-01-24T19:05:00Z</dcterms:created>
  <dcterms:modified xsi:type="dcterms:W3CDTF">2022-01-24T19:22:00Z</dcterms:modified>
</cp:coreProperties>
</file>